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25" w:rsidRPr="004F0D93" w:rsidRDefault="00D34525" w:rsidP="00FE7990">
      <w:pPr>
        <w:spacing w:before="240"/>
        <w:rPr>
          <w:noProof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2491740" cy="4099560"/>
                <wp:effectExtent l="0" t="0" r="22860" b="15240"/>
                <wp:wrapThrough wrapText="bothSides">
                  <wp:wrapPolygon edited="0">
                    <wp:start x="0" y="0"/>
                    <wp:lineTo x="0" y="21580"/>
                    <wp:lineTo x="21633" y="21580"/>
                    <wp:lineTo x="21633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409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6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Kirchenraum:</w:t>
                            </w:r>
                          </w:p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für den einen toter Stein,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für die andere Ästhetik von gestern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nichtssagende Architektur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die weder stört noch dient.</w:t>
                            </w:r>
                          </w:p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Sakralraum:</w:t>
                            </w:r>
                          </w:p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für den einen lebendiger Traum,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für die andere Poesie der Seele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Erzählung von einer Hoffnung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die sich nicht zuschließen lässt.</w:t>
                            </w:r>
                          </w:p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Kirchentraum im Kirchenraum: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 xml:space="preserve">Es kommt wie so oft im Leben </w:t>
                            </w:r>
                            <w:r w:rsidR="00D34525"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t>stets darauf an,</w:t>
                            </w:r>
                            <w:r w:rsidRPr="00D34525">
                              <w:rPr>
                                <w:rFonts w:ascii="Calibri" w:hAnsi="Calibri" w:cs="Calibri"/>
                                <w:b/>
                                <w:color w:val="833C0B" w:themeColor="accent2" w:themeShade="80"/>
                              </w:rPr>
                              <w:br/>
                              <w:t>welchen Eingang man wählt.</w:t>
                            </w:r>
                          </w:p>
                          <w:p w:rsidR="001B637D" w:rsidRPr="00D34525" w:rsidRDefault="001B637D" w:rsidP="001B637D">
                            <w:pPr>
                              <w:pStyle w:val="StandardWeb"/>
                              <w:spacing w:before="0" w:before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D3452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vertAlign w:val="superscript"/>
                              </w:rPr>
                              <w:t>Klaus Vellguth</w:t>
                            </w:r>
                            <w:r w:rsidRPr="00D3452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vertAlign w:val="superscript"/>
                              </w:rPr>
                              <w:br/>
                              <w:t>(in: Anzeiger für die Seelsorge, Heft 6/2022)</w:t>
                            </w:r>
                          </w:p>
                          <w:p w:rsidR="001B637D" w:rsidRDefault="001B6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9.55pt;width:196.2pt;height:3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" fillcolor="#ffd966 [1943]" strokeweight=".5pt">
                <v:fill opacity="41377f"/>
                <v:textbox>
                  <w:txbxContent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</w:pP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Kirchenraum:</w:t>
                      </w:r>
                    </w:p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</w:pP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für den einen toter Stein,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für die andere Ästhetik von gestern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nichtssagende Architektur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die weder stört noch dient.</w:t>
                      </w:r>
                    </w:p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</w:pP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Sakralraum:</w:t>
                      </w:r>
                    </w:p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</w:pP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für den einen lebendiger Traum,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für die andere Poesie der Seele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Erzählung von einer Hoffnung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die sich nicht zuschließen lässt.</w:t>
                      </w:r>
                    </w:p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</w:pP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Kirchentraum im Kirchenraum: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 xml:space="preserve">Es kommt wie so oft im Leben </w:t>
                      </w:r>
                      <w:r w:rsidR="00D34525"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t>stets darauf an,</w:t>
                      </w:r>
                      <w:r w:rsidRPr="00D34525">
                        <w:rPr>
                          <w:rFonts w:ascii="Calibri" w:hAnsi="Calibri" w:cs="Calibri"/>
                          <w:b/>
                          <w:color w:val="833C0B" w:themeColor="accent2" w:themeShade="80"/>
                        </w:rPr>
                        <w:br/>
                        <w:t>welchen Eingang man wählt.</w:t>
                      </w:r>
                    </w:p>
                    <w:p w:rsidR="001B637D" w:rsidRPr="00D34525" w:rsidRDefault="001B637D" w:rsidP="001B637D">
                      <w:pPr>
                        <w:pStyle w:val="StandardWeb"/>
                        <w:spacing w:before="0" w:beforeAutospacing="0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 w:rsidRPr="00D34525">
                        <w:rPr>
                          <w:rFonts w:ascii="Calibri" w:hAnsi="Calibri" w:cs="Calibri"/>
                          <w:color w:val="000000"/>
                          <w:sz w:val="22"/>
                          <w:vertAlign w:val="superscript"/>
                        </w:rPr>
                        <w:t>Klaus Vellguth</w:t>
                      </w:r>
                      <w:r w:rsidRPr="00D34525">
                        <w:rPr>
                          <w:rFonts w:ascii="Calibri" w:hAnsi="Calibri" w:cs="Calibri"/>
                          <w:color w:val="000000"/>
                          <w:sz w:val="22"/>
                          <w:vertAlign w:val="superscript"/>
                        </w:rPr>
                        <w:br/>
                        <w:t>(in: Anzeiger für die Seelsorge, Heft 6/2022)</w:t>
                      </w:r>
                    </w:p>
                    <w:p w:rsidR="001B637D" w:rsidRDefault="001B637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3E9F34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5760720" cy="43205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  <a:alpha val="73000"/>
                      </a:schemeClr>
                    </a:solidFill>
                  </pic:spPr>
                </pic:pic>
              </a:graphicData>
            </a:graphic>
          </wp:anchor>
        </w:drawing>
      </w:r>
      <w:r w:rsidRPr="004F0D93">
        <w:rPr>
          <w:noProof/>
          <w:sz w:val="24"/>
        </w:rPr>
        <w:t>Liebe Interessierte am Kurs „Räume öffnen“</w:t>
      </w:r>
    </w:p>
    <w:p w:rsidR="00D34525" w:rsidRPr="004F0D93" w:rsidRDefault="00D34525">
      <w:pPr>
        <w:rPr>
          <w:noProof/>
          <w:sz w:val="24"/>
        </w:rPr>
      </w:pPr>
      <w:r w:rsidRPr="004F0D93">
        <w:rPr>
          <w:noProof/>
          <w:sz w:val="24"/>
        </w:rPr>
        <w:t xml:space="preserve">gemäß dem obigen Text haben Sie den richtigen Eingang gewählt! </w:t>
      </w:r>
      <w:r w:rsidR="00FE7990">
        <w:rPr>
          <w:noProof/>
          <w:sz w:val="24"/>
        </w:rPr>
        <w:br/>
      </w:r>
      <w:r w:rsidRPr="004F0D93">
        <w:rPr>
          <w:noProof/>
          <w:sz w:val="24"/>
        </w:rPr>
        <w:t xml:space="preserve">Wir freuen uns über Ihr Interesse an unserem Qualifizierungsskurs für Kirchenentdecker*innen „Räume öffnen“. </w:t>
      </w:r>
      <w:r w:rsidR="00FE7990">
        <w:rPr>
          <w:noProof/>
          <w:sz w:val="24"/>
        </w:rPr>
        <w:t>M</w:t>
      </w:r>
      <w:r w:rsidRPr="004F0D93">
        <w:rPr>
          <w:noProof/>
          <w:sz w:val="24"/>
        </w:rPr>
        <w:t xml:space="preserve">it diesem Brief </w:t>
      </w:r>
      <w:r w:rsidR="00FE7990">
        <w:rPr>
          <w:noProof/>
          <w:sz w:val="24"/>
        </w:rPr>
        <w:t xml:space="preserve">möchten wir Ihnen </w:t>
      </w:r>
      <w:r w:rsidRPr="004F0D93">
        <w:rPr>
          <w:noProof/>
          <w:sz w:val="24"/>
        </w:rPr>
        <w:t>die wichtigsten Informationen zum Kurs geben.</w:t>
      </w:r>
    </w:p>
    <w:p w:rsidR="00FE7990" w:rsidRDefault="00D34525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>Konzept</w:t>
      </w:r>
    </w:p>
    <w:p w:rsidR="00D34525" w:rsidRDefault="00D34525">
      <w:pPr>
        <w:rPr>
          <w:noProof/>
        </w:rPr>
      </w:pPr>
      <w:r w:rsidRPr="004F0D93">
        <w:rPr>
          <w:noProof/>
          <w:sz w:val="24"/>
        </w:rPr>
        <w:t>Der Kurs besteht im Wesentlichen aus 3</w:t>
      </w:r>
      <w:r w:rsidR="0094116B" w:rsidRPr="004F0D93">
        <w:rPr>
          <w:noProof/>
          <w:sz w:val="24"/>
        </w:rPr>
        <w:t xml:space="preserve"> Säulen</w:t>
      </w:r>
      <w:r w:rsidR="0094116B">
        <w:rPr>
          <w:noProof/>
          <w:lang w:eastAsia="de-DE"/>
        </w:rPr>
        <w:drawing>
          <wp:inline distT="0" distB="0" distL="0" distR="0" wp14:anchorId="46AB8277" wp14:editId="3CB8D92F">
            <wp:extent cx="5349875" cy="2797629"/>
            <wp:effectExtent l="0" t="19050" r="22225" b="2222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t xml:space="preserve"> </w:t>
      </w:r>
    </w:p>
    <w:p w:rsidR="00395C90" w:rsidRPr="00B735B1" w:rsidRDefault="00D34525">
      <w:pPr>
        <w:rPr>
          <w:noProof/>
          <w:sz w:val="24"/>
        </w:rPr>
      </w:pPr>
      <w:r w:rsidRPr="00395C90">
        <w:rPr>
          <w:noProof/>
          <w:sz w:val="24"/>
        </w:rPr>
        <w:lastRenderedPageBreak/>
        <w:t xml:space="preserve">Der Kurs ist </w:t>
      </w:r>
      <w:r w:rsidRPr="00395C90">
        <w:rPr>
          <w:b/>
          <w:noProof/>
          <w:sz w:val="24"/>
        </w:rPr>
        <w:t>modular</w:t>
      </w:r>
      <w:r w:rsidRPr="00395C90">
        <w:rPr>
          <w:noProof/>
          <w:sz w:val="24"/>
        </w:rPr>
        <w:t xml:space="preserve"> aufgebaut. Das heißt, man </w:t>
      </w:r>
      <w:r w:rsidR="0083771D" w:rsidRPr="00395C90">
        <w:rPr>
          <w:noProof/>
          <w:sz w:val="24"/>
        </w:rPr>
        <w:t xml:space="preserve">muss nicht zu allen Terminen des Kurses Zeit haben, sondern </w:t>
      </w:r>
      <w:r w:rsidRPr="00395C90">
        <w:rPr>
          <w:noProof/>
          <w:sz w:val="24"/>
        </w:rPr>
        <w:t>meldet sich</w:t>
      </w:r>
      <w:r w:rsidR="00EF12F6">
        <w:rPr>
          <w:noProof/>
          <w:sz w:val="24"/>
        </w:rPr>
        <w:t xml:space="preserve"> </w:t>
      </w:r>
      <w:r w:rsidRPr="00395C90">
        <w:rPr>
          <w:noProof/>
          <w:sz w:val="24"/>
        </w:rPr>
        <w:t>immer nur für ein einzel</w:t>
      </w:r>
      <w:r w:rsidR="00F62ADE" w:rsidRPr="00EF12F6">
        <w:rPr>
          <w:noProof/>
          <w:sz w:val="24"/>
        </w:rPr>
        <w:t>n</w:t>
      </w:r>
      <w:r w:rsidR="0083771D" w:rsidRPr="00395C90">
        <w:rPr>
          <w:noProof/>
          <w:sz w:val="24"/>
        </w:rPr>
        <w:t xml:space="preserve">es Element des Kurses an. </w:t>
      </w:r>
      <w:r w:rsidR="001207DC" w:rsidRPr="00395C90">
        <w:rPr>
          <w:noProof/>
          <w:sz w:val="24"/>
        </w:rPr>
        <w:t xml:space="preserve">So können Interessierte jederzeit neu in den Kurs einsteigen. </w:t>
      </w:r>
      <w:r w:rsidR="0083771D" w:rsidRPr="00395C90">
        <w:rPr>
          <w:noProof/>
          <w:sz w:val="24"/>
        </w:rPr>
        <w:t xml:space="preserve">Sie </w:t>
      </w:r>
      <w:r w:rsidR="00A32122" w:rsidRPr="00395C90">
        <w:rPr>
          <w:noProof/>
          <w:sz w:val="24"/>
        </w:rPr>
        <w:t xml:space="preserve">können sich </w:t>
      </w:r>
      <w:r w:rsidR="0083771D" w:rsidRPr="00395C90">
        <w:rPr>
          <w:noProof/>
          <w:sz w:val="24"/>
        </w:rPr>
        <w:t xml:space="preserve">jetzt schon </w:t>
      </w:r>
      <w:r w:rsidR="00A32122" w:rsidRPr="00395C90">
        <w:rPr>
          <w:noProof/>
          <w:sz w:val="24"/>
        </w:rPr>
        <w:t xml:space="preserve">zu den einzelnen Elementen anmelden </w:t>
      </w:r>
      <w:r w:rsidR="0083771D" w:rsidRPr="00395C90">
        <w:rPr>
          <w:noProof/>
          <w:sz w:val="24"/>
        </w:rPr>
        <w:t xml:space="preserve">unter </w:t>
      </w:r>
      <w:r w:rsidR="00A32122" w:rsidRPr="00D440F3">
        <w:rPr>
          <w:b/>
          <w:noProof/>
          <w:sz w:val="24"/>
        </w:rPr>
        <w:t>www.keb-</w:t>
      </w:r>
      <w:bookmarkStart w:id="0" w:name="_GoBack"/>
      <w:bookmarkEnd w:id="0"/>
      <w:r w:rsidR="00A32122" w:rsidRPr="00D440F3">
        <w:rPr>
          <w:b/>
          <w:noProof/>
          <w:sz w:val="24"/>
        </w:rPr>
        <w:t>regensburg.de</w:t>
      </w:r>
      <w:r w:rsidR="00A32122" w:rsidRPr="00395C90">
        <w:rPr>
          <w:b/>
          <w:noProof/>
          <w:sz w:val="24"/>
        </w:rPr>
        <w:t xml:space="preserve">. </w:t>
      </w:r>
      <w:r w:rsidR="00B735B1">
        <w:rPr>
          <w:noProof/>
          <w:sz w:val="24"/>
        </w:rPr>
        <w:t>Die modularen Elemente sollen über 2024 hinaus fortlaufend angeboten werden.</w:t>
      </w:r>
    </w:p>
    <w:p w:rsidR="00395C90" w:rsidRPr="004F0D93" w:rsidRDefault="004F0D93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 xml:space="preserve">Kosten | </w:t>
      </w:r>
      <w:r w:rsidR="00395C90" w:rsidRPr="004F0D93">
        <w:rPr>
          <w:b/>
          <w:noProof/>
          <w:color w:val="0070C0"/>
          <w:sz w:val="24"/>
        </w:rPr>
        <w:t>Bezahlung</w:t>
      </w:r>
    </w:p>
    <w:p w:rsidR="0083771D" w:rsidRPr="00395C90" w:rsidRDefault="00395C90">
      <w:pPr>
        <w:rPr>
          <w:noProof/>
          <w:sz w:val="24"/>
        </w:rPr>
      </w:pPr>
      <w:r>
        <w:rPr>
          <w:noProof/>
          <w:sz w:val="24"/>
        </w:rPr>
        <w:t>Die Kosten</w:t>
      </w:r>
      <w:r w:rsidR="00B735B1">
        <w:rPr>
          <w:noProof/>
          <w:sz w:val="24"/>
        </w:rPr>
        <w:t xml:space="preserve"> des Kurses</w:t>
      </w:r>
      <w:r>
        <w:rPr>
          <w:noProof/>
          <w:sz w:val="24"/>
        </w:rPr>
        <w:t xml:space="preserve"> können wir aktuell noch nicht </w:t>
      </w:r>
      <w:r w:rsidRPr="00B735B1">
        <w:rPr>
          <w:noProof/>
          <w:sz w:val="24"/>
        </w:rPr>
        <w:t>genau</w:t>
      </w:r>
      <w:r w:rsidRPr="00F62ADE">
        <w:rPr>
          <w:noProof/>
          <w:color w:val="FF0000"/>
          <w:sz w:val="24"/>
        </w:rPr>
        <w:t xml:space="preserve"> </w:t>
      </w:r>
      <w:r>
        <w:rPr>
          <w:noProof/>
          <w:sz w:val="24"/>
        </w:rPr>
        <w:t>kalkulieren. Sie dürften aber je Einheit (Modul, Themen-</w:t>
      </w:r>
      <w:r w:rsidR="00F62ADE">
        <w:rPr>
          <w:noProof/>
          <w:sz w:val="24"/>
        </w:rPr>
        <w:t xml:space="preserve"> </w:t>
      </w:r>
      <w:r>
        <w:rPr>
          <w:noProof/>
          <w:sz w:val="24"/>
        </w:rPr>
        <w:t xml:space="preserve">oder Studientag) </w:t>
      </w:r>
      <w:r w:rsidR="004F0D93">
        <w:rPr>
          <w:noProof/>
          <w:sz w:val="24"/>
        </w:rPr>
        <w:t xml:space="preserve">zwischen 20 und 30 Euro liegen. </w:t>
      </w:r>
      <w:r w:rsidR="00A32122" w:rsidRPr="00395C90">
        <w:rPr>
          <w:noProof/>
          <w:sz w:val="24"/>
        </w:rPr>
        <w:t xml:space="preserve">Die </w:t>
      </w:r>
      <w:r w:rsidR="00A32122" w:rsidRPr="00395C90">
        <w:rPr>
          <w:b/>
          <w:noProof/>
          <w:sz w:val="24"/>
        </w:rPr>
        <w:t>Bezahlung</w:t>
      </w:r>
      <w:r w:rsidR="00A32122" w:rsidRPr="00395C90">
        <w:rPr>
          <w:noProof/>
          <w:sz w:val="24"/>
        </w:rPr>
        <w:t xml:space="preserve"> erfolgt per </w:t>
      </w:r>
      <w:r w:rsidR="00A32122" w:rsidRPr="00395C90">
        <w:rPr>
          <w:b/>
          <w:noProof/>
          <w:sz w:val="24"/>
        </w:rPr>
        <w:t>Lastschrift</w:t>
      </w:r>
      <w:r w:rsidR="00FE7990">
        <w:rPr>
          <w:b/>
          <w:noProof/>
          <w:sz w:val="24"/>
        </w:rPr>
        <w:t xml:space="preserve"> </w:t>
      </w:r>
      <w:r w:rsidR="00FE7990" w:rsidRPr="00FE7990">
        <w:rPr>
          <w:noProof/>
          <w:sz w:val="24"/>
        </w:rPr>
        <w:t>je Einheit</w:t>
      </w:r>
      <w:r w:rsidR="00A32122" w:rsidRPr="00395C90">
        <w:rPr>
          <w:noProof/>
          <w:sz w:val="24"/>
        </w:rPr>
        <w:t xml:space="preserve">. Geben Sie dazu bei der Anmeldung </w:t>
      </w:r>
      <w:r>
        <w:rPr>
          <w:noProof/>
          <w:sz w:val="24"/>
        </w:rPr>
        <w:t>zu dem jeweiligen Element</w:t>
      </w:r>
      <w:r w:rsidR="00F62ADE">
        <w:rPr>
          <w:noProof/>
          <w:sz w:val="24"/>
        </w:rPr>
        <w:t xml:space="preserve"> </w:t>
      </w:r>
      <w:r w:rsidR="00F62ADE" w:rsidRPr="00B735B1">
        <w:rPr>
          <w:noProof/>
          <w:sz w:val="24"/>
        </w:rPr>
        <w:t>bitte</w:t>
      </w:r>
      <w:r w:rsidRPr="00F62ADE">
        <w:rPr>
          <w:noProof/>
          <w:color w:val="FF0000"/>
          <w:sz w:val="24"/>
        </w:rPr>
        <w:t xml:space="preserve"> </w:t>
      </w:r>
      <w:r w:rsidR="00A32122" w:rsidRPr="00395C90">
        <w:rPr>
          <w:noProof/>
          <w:sz w:val="24"/>
        </w:rPr>
        <w:t>Ihre Kontoverbindung an.</w:t>
      </w:r>
    </w:p>
    <w:p w:rsidR="004F0D93" w:rsidRPr="004F0D93" w:rsidRDefault="004F0D93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>Pflichtermine | credit points | Zertifikat</w:t>
      </w:r>
    </w:p>
    <w:p w:rsidR="00B735B1" w:rsidRDefault="0083771D">
      <w:pPr>
        <w:rPr>
          <w:noProof/>
          <w:sz w:val="24"/>
        </w:rPr>
      </w:pPr>
      <w:r w:rsidRPr="00395C90">
        <w:rPr>
          <w:noProof/>
          <w:sz w:val="24"/>
        </w:rPr>
        <w:t xml:space="preserve">Die </w:t>
      </w:r>
      <w:r w:rsidRPr="00395C90">
        <w:rPr>
          <w:b/>
          <w:noProof/>
          <w:sz w:val="24"/>
        </w:rPr>
        <w:t>Teilnahme am Grundlagenmodul</w:t>
      </w:r>
      <w:r w:rsidRPr="00395C90">
        <w:rPr>
          <w:noProof/>
          <w:sz w:val="24"/>
        </w:rPr>
        <w:t xml:space="preserve"> </w:t>
      </w:r>
      <w:r w:rsidRPr="00395C90">
        <w:rPr>
          <w:b/>
          <w:noProof/>
          <w:sz w:val="24"/>
        </w:rPr>
        <w:t>(01.04.2023)</w:t>
      </w:r>
      <w:r w:rsidRPr="00395C90">
        <w:rPr>
          <w:noProof/>
          <w:sz w:val="24"/>
        </w:rPr>
        <w:t xml:space="preserve"> und jeweils Teil 1 der </w:t>
      </w:r>
      <w:r w:rsidR="0040586A" w:rsidRPr="00395C90">
        <w:rPr>
          <w:b/>
          <w:noProof/>
          <w:sz w:val="24"/>
        </w:rPr>
        <w:t>Module zu den Stilepochen</w:t>
      </w:r>
      <w:r w:rsidR="0040586A" w:rsidRPr="00395C90">
        <w:rPr>
          <w:noProof/>
          <w:sz w:val="24"/>
        </w:rPr>
        <w:t xml:space="preserve"> </w:t>
      </w:r>
      <w:r w:rsidR="0040586A" w:rsidRPr="00395C90">
        <w:rPr>
          <w:b/>
          <w:noProof/>
          <w:sz w:val="24"/>
        </w:rPr>
        <w:t>(22.04.2023 | 16.09.2023 | 09.03.2024 | 14.09.2024)</w:t>
      </w:r>
      <w:r w:rsidR="0040586A" w:rsidRPr="00395C90">
        <w:rPr>
          <w:noProof/>
          <w:sz w:val="24"/>
        </w:rPr>
        <w:t xml:space="preserve"> ist </w:t>
      </w:r>
      <w:r w:rsidR="0040586A" w:rsidRPr="00FE7990">
        <w:rPr>
          <w:b/>
          <w:noProof/>
          <w:sz w:val="24"/>
        </w:rPr>
        <w:t>verpflichtend</w:t>
      </w:r>
      <w:r w:rsidR="0040586A" w:rsidRPr="00395C90">
        <w:rPr>
          <w:noProof/>
          <w:sz w:val="24"/>
        </w:rPr>
        <w:t xml:space="preserve">! Bei allen anderen Elementen sind Sie letztlich frei. Bei jeder Einheit gibt es </w:t>
      </w:r>
      <w:r w:rsidR="0040586A" w:rsidRPr="00395C90">
        <w:rPr>
          <w:b/>
          <w:noProof/>
          <w:sz w:val="24"/>
        </w:rPr>
        <w:t>credit points</w:t>
      </w:r>
      <w:r w:rsidR="0040586A" w:rsidRPr="00395C90">
        <w:rPr>
          <w:noProof/>
          <w:sz w:val="24"/>
        </w:rPr>
        <w:t xml:space="preserve">. Mit einer noch festzulegenden Anzahl von credit points können Sie erstmals Ende 2024 im Rahmen eines Prüfungstages ein </w:t>
      </w:r>
      <w:r w:rsidR="0040586A" w:rsidRPr="00395C90">
        <w:rPr>
          <w:b/>
          <w:noProof/>
          <w:sz w:val="24"/>
        </w:rPr>
        <w:t>Zertifikat als Kirchenentdecker*in</w:t>
      </w:r>
      <w:r w:rsidR="0040586A" w:rsidRPr="00395C90">
        <w:rPr>
          <w:noProof/>
          <w:sz w:val="24"/>
        </w:rPr>
        <w:t xml:space="preserve"> erwerben.</w:t>
      </w:r>
      <w:r w:rsidR="00B735B1">
        <w:rPr>
          <w:noProof/>
          <w:sz w:val="24"/>
        </w:rPr>
        <w:t xml:space="preserve"> </w:t>
      </w:r>
    </w:p>
    <w:p w:rsidR="00B735B1" w:rsidRPr="00B735B1" w:rsidRDefault="00B735B1" w:rsidP="00B735B1">
      <w:pPr>
        <w:spacing w:after="120"/>
        <w:rPr>
          <w:b/>
          <w:noProof/>
          <w:color w:val="0070C0"/>
          <w:sz w:val="24"/>
        </w:rPr>
      </w:pPr>
      <w:r w:rsidRPr="00B735B1">
        <w:rPr>
          <w:b/>
          <w:noProof/>
          <w:color w:val="0070C0"/>
          <w:sz w:val="24"/>
        </w:rPr>
        <w:t>Probe-Kirchenführung</w:t>
      </w:r>
    </w:p>
    <w:p w:rsidR="00D34525" w:rsidRDefault="00B735B1">
      <w:pPr>
        <w:rPr>
          <w:noProof/>
          <w:sz w:val="24"/>
        </w:rPr>
      </w:pPr>
      <w:r>
        <w:rPr>
          <w:noProof/>
          <w:sz w:val="24"/>
        </w:rPr>
        <w:t xml:space="preserve">Voraussetzung für ein Zertifikat ist eine öffentlich angebotene </w:t>
      </w:r>
      <w:r w:rsidRPr="00B735B1">
        <w:rPr>
          <w:b/>
          <w:noProof/>
          <w:sz w:val="24"/>
        </w:rPr>
        <w:t>Probe-Kirchenführung</w:t>
      </w:r>
      <w:r>
        <w:rPr>
          <w:noProof/>
          <w:sz w:val="24"/>
        </w:rPr>
        <w:t xml:space="preserve"> in einer Kirche Ihrer Wahl mit kleiner schriftlicher Ausarbeitung im Frühjahr/Sommer 2024</w:t>
      </w:r>
    </w:p>
    <w:p w:rsidR="004F0D93" w:rsidRPr="004F0D93" w:rsidRDefault="004F0D93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>Technische Grundvoraussetzungen</w:t>
      </w:r>
    </w:p>
    <w:p w:rsidR="00395C90" w:rsidRDefault="0040586A">
      <w:pPr>
        <w:rPr>
          <w:noProof/>
          <w:sz w:val="24"/>
        </w:rPr>
      </w:pPr>
      <w:r w:rsidRPr="00395C90">
        <w:rPr>
          <w:noProof/>
          <w:sz w:val="24"/>
        </w:rPr>
        <w:t xml:space="preserve">Parallel zu den Präsenzterminen des Kurses </w:t>
      </w:r>
      <w:r w:rsidR="00FE7990">
        <w:rPr>
          <w:noProof/>
          <w:sz w:val="24"/>
        </w:rPr>
        <w:t xml:space="preserve">werden wir </w:t>
      </w:r>
      <w:r w:rsidRPr="00395C90">
        <w:rPr>
          <w:noProof/>
          <w:sz w:val="24"/>
        </w:rPr>
        <w:t xml:space="preserve">mit der </w:t>
      </w:r>
      <w:r w:rsidRPr="00395C90">
        <w:rPr>
          <w:b/>
          <w:noProof/>
          <w:sz w:val="24"/>
        </w:rPr>
        <w:t>online-Lernplattform moodle</w:t>
      </w:r>
      <w:r w:rsidR="00FE7990">
        <w:rPr>
          <w:b/>
          <w:noProof/>
          <w:sz w:val="24"/>
        </w:rPr>
        <w:t xml:space="preserve"> </w:t>
      </w:r>
      <w:r w:rsidR="00FE7990" w:rsidRPr="00FE7990">
        <w:rPr>
          <w:noProof/>
          <w:sz w:val="24"/>
        </w:rPr>
        <w:t>arbeiten</w:t>
      </w:r>
      <w:r w:rsidRPr="00395C90">
        <w:rPr>
          <w:noProof/>
          <w:sz w:val="24"/>
        </w:rPr>
        <w:t xml:space="preserve">. Dort werden alle Kursunterlagen (Skripte, Anfahrtsskizzen, Filme, etc.) eingestellt. </w:t>
      </w:r>
      <w:r w:rsidR="004F0D93">
        <w:rPr>
          <w:noProof/>
          <w:sz w:val="24"/>
        </w:rPr>
        <w:t>Zudem werden Sie gebeten, ein kurzes Profil von sich zu erstellen (Foto, Ihre Motivation für den Kurs, etwaige Vorerfahrungen, u.ä.). Außerdem</w:t>
      </w:r>
      <w:r w:rsidRPr="00395C90">
        <w:rPr>
          <w:noProof/>
          <w:sz w:val="24"/>
        </w:rPr>
        <w:t xml:space="preserve"> finden online-Treffen bzw. online-Vorträge zur Kirchen-und Ordensgeschichte dort statt. Das heißt eine </w:t>
      </w:r>
      <w:r w:rsidRPr="00395C90">
        <w:rPr>
          <w:b/>
          <w:noProof/>
          <w:sz w:val="24"/>
        </w:rPr>
        <w:t>Grundvoraussetzung</w:t>
      </w:r>
      <w:r w:rsidRPr="00395C90">
        <w:rPr>
          <w:noProof/>
          <w:sz w:val="24"/>
        </w:rPr>
        <w:t xml:space="preserve"> zur Teilnahme an unserem Kurs ist ein </w:t>
      </w:r>
      <w:r w:rsidRPr="00395C90">
        <w:rPr>
          <w:b/>
          <w:noProof/>
          <w:sz w:val="24"/>
        </w:rPr>
        <w:t>gewisse technische Affinität</w:t>
      </w:r>
      <w:r w:rsidRPr="00395C90">
        <w:rPr>
          <w:noProof/>
          <w:sz w:val="24"/>
        </w:rPr>
        <w:t xml:space="preserve">, die </w:t>
      </w:r>
      <w:r w:rsidR="00F62ADE" w:rsidRPr="00B735B1">
        <w:rPr>
          <w:noProof/>
          <w:sz w:val="24"/>
        </w:rPr>
        <w:t>Sie</w:t>
      </w:r>
      <w:r w:rsidR="00F62ADE" w:rsidRPr="00F62ADE">
        <w:rPr>
          <w:noProof/>
          <w:color w:val="FF0000"/>
          <w:sz w:val="24"/>
        </w:rPr>
        <w:t xml:space="preserve"> </w:t>
      </w:r>
      <w:r w:rsidRPr="00395C90">
        <w:rPr>
          <w:noProof/>
          <w:sz w:val="24"/>
        </w:rPr>
        <w:t>mitbringen sollten (eigene Email-Adresse, PC/Notebook</w:t>
      </w:r>
      <w:r w:rsidR="001207DC" w:rsidRPr="00395C90">
        <w:rPr>
          <w:noProof/>
          <w:sz w:val="24"/>
        </w:rPr>
        <w:t xml:space="preserve"> nach Möglichkeit mit Kamera</w:t>
      </w:r>
      <w:r w:rsidRPr="00395C90">
        <w:rPr>
          <w:noProof/>
          <w:sz w:val="24"/>
        </w:rPr>
        <w:t>).</w:t>
      </w:r>
      <w:r w:rsidR="001207DC" w:rsidRPr="00395C90">
        <w:rPr>
          <w:noProof/>
          <w:sz w:val="24"/>
        </w:rPr>
        <w:t xml:space="preserve"> </w:t>
      </w:r>
    </w:p>
    <w:p w:rsidR="004F0D93" w:rsidRPr="004F0D93" w:rsidRDefault="004F0D93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>Einführungsveranstaltung (online)</w:t>
      </w:r>
    </w:p>
    <w:p w:rsidR="00D34525" w:rsidRDefault="001207DC">
      <w:pPr>
        <w:rPr>
          <w:noProof/>
          <w:sz w:val="24"/>
        </w:rPr>
      </w:pPr>
      <w:r w:rsidRPr="00395C90">
        <w:rPr>
          <w:noProof/>
          <w:sz w:val="24"/>
        </w:rPr>
        <w:t xml:space="preserve">Sie bekommen eine </w:t>
      </w:r>
      <w:r w:rsidRPr="00395C90">
        <w:rPr>
          <w:b/>
          <w:noProof/>
          <w:sz w:val="24"/>
        </w:rPr>
        <w:t>technische Einführung</w:t>
      </w:r>
      <w:r w:rsidRPr="00395C90">
        <w:rPr>
          <w:noProof/>
          <w:sz w:val="24"/>
        </w:rPr>
        <w:t xml:space="preserve"> bei einem </w:t>
      </w:r>
      <w:r w:rsidRPr="00395C90">
        <w:rPr>
          <w:b/>
          <w:noProof/>
          <w:sz w:val="24"/>
        </w:rPr>
        <w:t>online-Treffen</w:t>
      </w:r>
      <w:r w:rsidRPr="00395C90">
        <w:rPr>
          <w:noProof/>
          <w:sz w:val="24"/>
        </w:rPr>
        <w:t xml:space="preserve"> </w:t>
      </w:r>
      <w:r w:rsidR="00B735B1">
        <w:rPr>
          <w:noProof/>
          <w:sz w:val="24"/>
        </w:rPr>
        <w:t xml:space="preserve">(mit Aufzeichnung) </w:t>
      </w:r>
      <w:r w:rsidRPr="00395C90">
        <w:rPr>
          <w:noProof/>
          <w:sz w:val="24"/>
        </w:rPr>
        <w:t xml:space="preserve">am </w:t>
      </w:r>
      <w:r w:rsidR="004F0D93">
        <w:rPr>
          <w:noProof/>
          <w:sz w:val="24"/>
        </w:rPr>
        <w:br/>
      </w:r>
      <w:r w:rsidRPr="00395C90">
        <w:rPr>
          <w:b/>
          <w:noProof/>
          <w:sz w:val="24"/>
        </w:rPr>
        <w:t>Mittwoch, 08.März 2023</w:t>
      </w:r>
      <w:r w:rsidRPr="00395C90">
        <w:rPr>
          <w:noProof/>
          <w:sz w:val="24"/>
        </w:rPr>
        <w:t xml:space="preserve"> um </w:t>
      </w:r>
      <w:r w:rsidRPr="00395C90">
        <w:rPr>
          <w:b/>
          <w:noProof/>
          <w:sz w:val="24"/>
        </w:rPr>
        <w:t>19 Uhr</w:t>
      </w:r>
      <w:r w:rsidRPr="00395C90">
        <w:rPr>
          <w:noProof/>
          <w:sz w:val="24"/>
        </w:rPr>
        <w:t xml:space="preserve"> auf unserem KEB-internen Videokonferenz-System BigBlueButtton. </w:t>
      </w:r>
      <w:r w:rsidR="00395C90">
        <w:rPr>
          <w:noProof/>
          <w:sz w:val="24"/>
        </w:rPr>
        <w:t xml:space="preserve">Zudem werden wir Ihnen dabei den Kurs und die damit verbundenen organisatorischen Fragen vorstellen. </w:t>
      </w:r>
      <w:r w:rsidRPr="00395C90">
        <w:rPr>
          <w:noProof/>
          <w:sz w:val="24"/>
        </w:rPr>
        <w:t>Tragen Sie sich bitte diesen Termin jetzt schon in Ihren Terminkalender ein!!</w:t>
      </w:r>
    </w:p>
    <w:p w:rsidR="00D34525" w:rsidRPr="004F0D93" w:rsidRDefault="001207DC" w:rsidP="00FE7990">
      <w:pPr>
        <w:spacing w:after="120"/>
        <w:rPr>
          <w:b/>
          <w:noProof/>
          <w:color w:val="0070C0"/>
          <w:sz w:val="24"/>
        </w:rPr>
      </w:pPr>
      <w:r w:rsidRPr="004F0D93">
        <w:rPr>
          <w:b/>
          <w:noProof/>
          <w:color w:val="0070C0"/>
          <w:sz w:val="24"/>
        </w:rPr>
        <w:t>Ansprechpartner für den Kurs</w:t>
      </w:r>
    </w:p>
    <w:p w:rsidR="001207DC" w:rsidRPr="00395C90" w:rsidRDefault="001207DC">
      <w:pPr>
        <w:rPr>
          <w:noProof/>
          <w:sz w:val="24"/>
        </w:rPr>
      </w:pPr>
      <w:r w:rsidRPr="00395C90">
        <w:rPr>
          <w:noProof/>
          <w:sz w:val="24"/>
        </w:rPr>
        <w:t xml:space="preserve">Sollten Sie über diese Erstinformation hinaus Fragen zum Kurs haben, wenden Sie sich an </w:t>
      </w:r>
      <w:r w:rsidR="00B735B1">
        <w:rPr>
          <w:noProof/>
          <w:sz w:val="24"/>
        </w:rPr>
        <w:t>die</w:t>
      </w:r>
      <w:r w:rsidRPr="00395C90">
        <w:rPr>
          <w:noProof/>
          <w:sz w:val="24"/>
        </w:rPr>
        <w:t xml:space="preserve"> </w:t>
      </w:r>
      <w:r w:rsidR="00B735B1">
        <w:rPr>
          <w:noProof/>
          <w:sz w:val="24"/>
        </w:rPr>
        <w:t xml:space="preserve">die Ansprechpartner der </w:t>
      </w:r>
      <w:r w:rsidR="00F62ADE" w:rsidRPr="00B735B1">
        <w:rPr>
          <w:noProof/>
          <w:sz w:val="24"/>
        </w:rPr>
        <w:t>Kursleitung</w:t>
      </w:r>
    </w:p>
    <w:p w:rsidR="001207DC" w:rsidRPr="00395C90" w:rsidRDefault="001207DC" w:rsidP="00A32122">
      <w:pPr>
        <w:pStyle w:val="Listenabsatz"/>
        <w:numPr>
          <w:ilvl w:val="0"/>
          <w:numId w:val="1"/>
        </w:numPr>
        <w:rPr>
          <w:noProof/>
          <w:sz w:val="24"/>
        </w:rPr>
      </w:pPr>
      <w:r w:rsidRPr="00395C90">
        <w:rPr>
          <w:b/>
          <w:i/>
          <w:noProof/>
          <w:sz w:val="24"/>
        </w:rPr>
        <w:t>Eva Bräuer</w:t>
      </w:r>
      <w:r w:rsidRPr="00395C90">
        <w:rPr>
          <w:noProof/>
          <w:sz w:val="24"/>
        </w:rPr>
        <w:t>, KEB Schwandorf, Tel.09431-</w:t>
      </w:r>
      <w:r w:rsidR="00A32122" w:rsidRPr="00395C90">
        <w:rPr>
          <w:noProof/>
          <w:sz w:val="24"/>
        </w:rPr>
        <w:t xml:space="preserve">379665 (Dienstag-Donnerstag)  </w:t>
      </w:r>
      <w:r w:rsidR="00A32122" w:rsidRPr="00395C90">
        <w:rPr>
          <w:noProof/>
          <w:sz w:val="24"/>
        </w:rPr>
        <w:br/>
        <w:t>ebraeuer@keb-schwandorf.de</w:t>
      </w:r>
    </w:p>
    <w:p w:rsidR="001207DC" w:rsidRDefault="001207DC" w:rsidP="00A32122">
      <w:pPr>
        <w:pStyle w:val="Listenabsatz"/>
        <w:numPr>
          <w:ilvl w:val="0"/>
          <w:numId w:val="1"/>
        </w:numPr>
        <w:rPr>
          <w:noProof/>
          <w:sz w:val="24"/>
        </w:rPr>
      </w:pPr>
      <w:r w:rsidRPr="00395C90">
        <w:rPr>
          <w:b/>
          <w:i/>
          <w:noProof/>
          <w:sz w:val="24"/>
        </w:rPr>
        <w:t>Thomas Albertin</w:t>
      </w:r>
      <w:r w:rsidRPr="00395C90">
        <w:rPr>
          <w:noProof/>
          <w:sz w:val="24"/>
        </w:rPr>
        <w:t>, KEB Regensburg-Land, Tel. 0941-597 2387</w:t>
      </w:r>
      <w:r w:rsidR="00A32122" w:rsidRPr="00395C90">
        <w:rPr>
          <w:noProof/>
          <w:sz w:val="24"/>
        </w:rPr>
        <w:t xml:space="preserve"> </w:t>
      </w:r>
      <w:r w:rsidR="00A32122" w:rsidRPr="00395C90">
        <w:rPr>
          <w:noProof/>
          <w:sz w:val="24"/>
        </w:rPr>
        <w:br/>
      </w:r>
      <w:r w:rsidR="003B645C" w:rsidRPr="00B735B1">
        <w:rPr>
          <w:noProof/>
          <w:sz w:val="24"/>
        </w:rPr>
        <w:t>thomas.albertin@keb-regensburg-land.de</w:t>
      </w:r>
    </w:p>
    <w:p w:rsidR="00D34525" w:rsidRDefault="00FE7990">
      <w:pPr>
        <w:rPr>
          <w:noProof/>
          <w:sz w:val="24"/>
        </w:rPr>
      </w:pPr>
      <w:r>
        <w:rPr>
          <w:noProof/>
          <w:sz w:val="24"/>
        </w:rPr>
        <w:lastRenderedPageBreak/>
        <w:t>Es grüßen Sie herzlich</w:t>
      </w:r>
    </w:p>
    <w:p w:rsidR="00ED55D2" w:rsidRPr="00B735B1" w:rsidRDefault="00FE7990">
      <w:pPr>
        <w:rPr>
          <w:strike/>
          <w:noProof/>
          <w:color w:val="FF0000"/>
          <w:sz w:val="24"/>
        </w:rPr>
      </w:pPr>
      <w:r>
        <w:rPr>
          <w:noProof/>
          <w:sz w:val="24"/>
        </w:rPr>
        <w:t>Wolfgang Stöckl | Gerhard Haller | Raphael Edert</w:t>
      </w:r>
    </w:p>
    <w:sectPr w:rsidR="00ED55D2" w:rsidRPr="00B73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A27"/>
    <w:multiLevelType w:val="hybridMultilevel"/>
    <w:tmpl w:val="83527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F5"/>
    <w:rsid w:val="001207DC"/>
    <w:rsid w:val="001B637D"/>
    <w:rsid w:val="00205AF5"/>
    <w:rsid w:val="00395C90"/>
    <w:rsid w:val="003B645C"/>
    <w:rsid w:val="0040586A"/>
    <w:rsid w:val="004F0D93"/>
    <w:rsid w:val="00707333"/>
    <w:rsid w:val="0083771D"/>
    <w:rsid w:val="0094116B"/>
    <w:rsid w:val="00A32122"/>
    <w:rsid w:val="00A962CF"/>
    <w:rsid w:val="00B735B1"/>
    <w:rsid w:val="00D34525"/>
    <w:rsid w:val="00D440F3"/>
    <w:rsid w:val="00E3759D"/>
    <w:rsid w:val="00ED55D2"/>
    <w:rsid w:val="00EF12F6"/>
    <w:rsid w:val="00F62ADE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57E"/>
  <w15:chartTrackingRefBased/>
  <w15:docId w15:val="{DFE6C9C5-DB1F-4CCD-8BBF-9646A9C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Condensed" w:eastAsiaTheme="minorHAnsi" w:hAnsi="Roboto Condense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21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12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212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4AB06-57F2-428E-821C-85E8D216B66C}" type="doc">
      <dgm:prSet loTypeId="urn:microsoft.com/office/officeart/2005/8/layout/vList4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AF6E60E-FC06-4CD4-856C-1D6E6161242E}">
      <dgm:prSet phldrT="[Text]" custT="1"/>
      <dgm:spPr/>
      <dgm:t>
        <a:bodyPr/>
        <a:lstStyle/>
        <a:p>
          <a:r>
            <a:rPr lang="de-DE" sz="2000" b="1"/>
            <a:t>Module</a:t>
          </a:r>
          <a:endParaRPr lang="de-DE" sz="2400" b="1"/>
        </a:p>
      </dgm:t>
    </dgm:pt>
    <dgm:pt modelId="{FAE15306-E8F4-4F7F-9F3E-4D8640F11267}" type="parTrans" cxnId="{84FB3985-D06B-49AE-BE13-DF82FD377F15}">
      <dgm:prSet/>
      <dgm:spPr/>
      <dgm:t>
        <a:bodyPr/>
        <a:lstStyle/>
        <a:p>
          <a:endParaRPr lang="de-DE"/>
        </a:p>
      </dgm:t>
    </dgm:pt>
    <dgm:pt modelId="{C95729EB-6967-4660-9A6E-EE719D039C8E}" type="sibTrans" cxnId="{84FB3985-D06B-49AE-BE13-DF82FD377F15}">
      <dgm:prSet/>
      <dgm:spPr/>
      <dgm:t>
        <a:bodyPr/>
        <a:lstStyle/>
        <a:p>
          <a:endParaRPr lang="de-DE"/>
        </a:p>
      </dgm:t>
    </dgm:pt>
    <dgm:pt modelId="{56ED2C6B-9B26-44B7-A95A-4E0CC17EA982}">
      <dgm:prSet phldrT="[Text]" custT="1"/>
      <dgm:spPr/>
      <dgm:t>
        <a:bodyPr/>
        <a:lstStyle/>
        <a:p>
          <a:r>
            <a:rPr lang="de-DE" sz="1800" b="1"/>
            <a:t>Thementage</a:t>
          </a:r>
          <a:endParaRPr lang="de-DE" sz="2000" b="1"/>
        </a:p>
      </dgm:t>
    </dgm:pt>
    <dgm:pt modelId="{1D8FAE6B-FFCC-420D-9202-25AEA0593CF3}" type="parTrans" cxnId="{89221DC5-A400-4062-8F25-3C30094E33B6}">
      <dgm:prSet/>
      <dgm:spPr/>
      <dgm:t>
        <a:bodyPr/>
        <a:lstStyle/>
        <a:p>
          <a:endParaRPr lang="de-DE"/>
        </a:p>
      </dgm:t>
    </dgm:pt>
    <dgm:pt modelId="{0FBA1968-C942-47F9-A59A-DFC2921B5C07}" type="sibTrans" cxnId="{89221DC5-A400-4062-8F25-3C30094E33B6}">
      <dgm:prSet/>
      <dgm:spPr/>
      <dgm:t>
        <a:bodyPr/>
        <a:lstStyle/>
        <a:p>
          <a:endParaRPr lang="de-DE"/>
        </a:p>
      </dgm:t>
    </dgm:pt>
    <dgm:pt modelId="{10DB73F8-BF40-475C-AAB3-8CF1CF2EA79D}">
      <dgm:prSet phldrT="[Text]" custT="1"/>
      <dgm:spPr/>
      <dgm:t>
        <a:bodyPr/>
        <a:lstStyle/>
        <a:p>
          <a:r>
            <a:rPr lang="de-DE" sz="1800" b="1"/>
            <a:t>Studientage</a:t>
          </a:r>
          <a:endParaRPr lang="de-DE" sz="2000" b="1"/>
        </a:p>
      </dgm:t>
    </dgm:pt>
    <dgm:pt modelId="{F65A0BEA-F205-4903-B99A-31B52219A5E8}" type="parTrans" cxnId="{D4BA3217-93B2-4225-AF7C-0928E7869085}">
      <dgm:prSet/>
      <dgm:spPr/>
      <dgm:t>
        <a:bodyPr/>
        <a:lstStyle/>
        <a:p>
          <a:endParaRPr lang="de-DE"/>
        </a:p>
      </dgm:t>
    </dgm:pt>
    <dgm:pt modelId="{2A46D3FB-6C06-477A-B8FB-2A9987001E76}" type="sibTrans" cxnId="{D4BA3217-93B2-4225-AF7C-0928E7869085}">
      <dgm:prSet/>
      <dgm:spPr/>
      <dgm:t>
        <a:bodyPr/>
        <a:lstStyle/>
        <a:p>
          <a:endParaRPr lang="de-DE"/>
        </a:p>
      </dgm:t>
    </dgm:pt>
    <dgm:pt modelId="{A4A7F132-63D5-4254-8139-22018C638963}">
      <dgm:prSet phldrT="[Text]" custT="1"/>
      <dgm:spPr/>
      <dgm:t>
        <a:bodyPr/>
        <a:lstStyle/>
        <a:p>
          <a:r>
            <a:rPr lang="de-DE" sz="1100"/>
            <a:t>sind über den Kurs hinaus für alle Interssierten offen</a:t>
          </a:r>
        </a:p>
      </dgm:t>
    </dgm:pt>
    <dgm:pt modelId="{7F53A4F2-3D37-4F43-B9F6-6B0A1A52EF0C}" type="sibTrans" cxnId="{BB48D4F8-F404-4FEA-8CDE-957CFDB9C892}">
      <dgm:prSet/>
      <dgm:spPr/>
      <dgm:t>
        <a:bodyPr/>
        <a:lstStyle/>
        <a:p>
          <a:endParaRPr lang="de-DE"/>
        </a:p>
      </dgm:t>
    </dgm:pt>
    <dgm:pt modelId="{AC0AEF06-C079-4520-9EA7-665D9F7A1A8C}" type="parTrans" cxnId="{BB48D4F8-F404-4FEA-8CDE-957CFDB9C892}">
      <dgm:prSet/>
      <dgm:spPr/>
      <dgm:t>
        <a:bodyPr/>
        <a:lstStyle/>
        <a:p>
          <a:endParaRPr lang="de-DE"/>
        </a:p>
      </dgm:t>
    </dgm:pt>
    <dgm:pt modelId="{64B014AB-3615-46B2-B8C2-7593F9524EAD}">
      <dgm:prSet phldrT="[Text]" custT="1"/>
      <dgm:spPr/>
      <dgm:t>
        <a:bodyPr/>
        <a:lstStyle/>
        <a:p>
          <a:r>
            <a:rPr lang="de-DE" sz="1100"/>
            <a:t>behandeln für Kirchenführungen relevante theologische und didaktische Themen</a:t>
          </a:r>
        </a:p>
      </dgm:t>
    </dgm:pt>
    <dgm:pt modelId="{01747909-24F9-4B4E-99C6-79D6F98BE25E}" type="sibTrans" cxnId="{02FC7415-EA3F-4B28-97AD-4493157584B7}">
      <dgm:prSet/>
      <dgm:spPr/>
      <dgm:t>
        <a:bodyPr/>
        <a:lstStyle/>
        <a:p>
          <a:endParaRPr lang="de-DE"/>
        </a:p>
      </dgm:t>
    </dgm:pt>
    <dgm:pt modelId="{67F96150-5844-4405-97CE-5726A3A65BF4}" type="parTrans" cxnId="{02FC7415-EA3F-4B28-97AD-4493157584B7}">
      <dgm:prSet/>
      <dgm:spPr/>
      <dgm:t>
        <a:bodyPr/>
        <a:lstStyle/>
        <a:p>
          <a:endParaRPr lang="de-DE"/>
        </a:p>
      </dgm:t>
    </dgm:pt>
    <dgm:pt modelId="{7AA14097-422B-471F-819D-6BAB56D55A77}">
      <dgm:prSet phldrT="[Text]" custT="1"/>
      <dgm:spPr/>
      <dgm:t>
        <a:bodyPr/>
        <a:lstStyle/>
        <a:p>
          <a:r>
            <a:rPr lang="de-DE" sz="1100"/>
            <a:t>vermitteln in Theorie und Praxis die hauptsächlichen Stilepochen des Kirchenbaus</a:t>
          </a:r>
        </a:p>
      </dgm:t>
    </dgm:pt>
    <dgm:pt modelId="{1C5C9265-9EF0-41BA-A416-22BF5CF20454}" type="sibTrans" cxnId="{725B5315-3E5E-4955-8046-B240DEC1968A}">
      <dgm:prSet/>
      <dgm:spPr/>
      <dgm:t>
        <a:bodyPr/>
        <a:lstStyle/>
        <a:p>
          <a:endParaRPr lang="de-DE"/>
        </a:p>
      </dgm:t>
    </dgm:pt>
    <dgm:pt modelId="{6BB199BC-4736-4D16-A18F-1929EEAA6D16}" type="parTrans" cxnId="{725B5315-3E5E-4955-8046-B240DEC1968A}">
      <dgm:prSet/>
      <dgm:spPr/>
      <dgm:t>
        <a:bodyPr/>
        <a:lstStyle/>
        <a:p>
          <a:endParaRPr lang="de-DE"/>
        </a:p>
      </dgm:t>
    </dgm:pt>
    <dgm:pt modelId="{0D980E6E-5A18-44D4-B9CD-3D5A5154CAB4}" type="pres">
      <dgm:prSet presAssocID="{BD84AB06-57F2-428E-821C-85E8D216B66C}" presName="linear" presStyleCnt="0">
        <dgm:presLayoutVars>
          <dgm:dir/>
          <dgm:resizeHandles val="exact"/>
        </dgm:presLayoutVars>
      </dgm:prSet>
      <dgm:spPr/>
    </dgm:pt>
    <dgm:pt modelId="{8594DC0B-B978-477F-8812-CD860D4CB604}" type="pres">
      <dgm:prSet presAssocID="{6AF6E60E-FC06-4CD4-856C-1D6E6161242E}" presName="comp" presStyleCnt="0"/>
      <dgm:spPr/>
    </dgm:pt>
    <dgm:pt modelId="{1C319122-1F3C-4B53-8BB4-B1015881A3EA}" type="pres">
      <dgm:prSet presAssocID="{6AF6E60E-FC06-4CD4-856C-1D6E6161242E}" presName="box" presStyleLbl="node1" presStyleIdx="0" presStyleCnt="3"/>
      <dgm:spPr/>
    </dgm:pt>
    <dgm:pt modelId="{E0C8B89A-67DD-4AC3-991B-A842171CD96F}" type="pres">
      <dgm:prSet presAssocID="{6AF6E60E-FC06-4CD4-856C-1D6E6161242E}" presName="img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9678828E-D492-4483-A3DB-204A0F355162}" type="pres">
      <dgm:prSet presAssocID="{6AF6E60E-FC06-4CD4-856C-1D6E6161242E}" presName="text" presStyleLbl="node1" presStyleIdx="0" presStyleCnt="3">
        <dgm:presLayoutVars>
          <dgm:bulletEnabled val="1"/>
        </dgm:presLayoutVars>
      </dgm:prSet>
      <dgm:spPr/>
    </dgm:pt>
    <dgm:pt modelId="{648C26CC-6F49-4136-96BC-49691F2E21C2}" type="pres">
      <dgm:prSet presAssocID="{C95729EB-6967-4660-9A6E-EE719D039C8E}" presName="spacer" presStyleCnt="0"/>
      <dgm:spPr/>
    </dgm:pt>
    <dgm:pt modelId="{138138E0-13B6-44A5-8476-BC7A46471E84}" type="pres">
      <dgm:prSet presAssocID="{56ED2C6B-9B26-44B7-A95A-4E0CC17EA982}" presName="comp" presStyleCnt="0"/>
      <dgm:spPr/>
    </dgm:pt>
    <dgm:pt modelId="{07A7A6E8-A051-4FB7-9F2E-52C926412323}" type="pres">
      <dgm:prSet presAssocID="{56ED2C6B-9B26-44B7-A95A-4E0CC17EA982}" presName="box" presStyleLbl="node1" presStyleIdx="1" presStyleCnt="3"/>
      <dgm:spPr/>
    </dgm:pt>
    <dgm:pt modelId="{1D1031B8-ABD0-48FD-B590-A8EA6723F10C}" type="pres">
      <dgm:prSet presAssocID="{56ED2C6B-9B26-44B7-A95A-4E0CC17EA982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96899A61-E0FB-43E7-99B2-0FB84AFE5978}" type="pres">
      <dgm:prSet presAssocID="{56ED2C6B-9B26-44B7-A95A-4E0CC17EA982}" presName="text" presStyleLbl="node1" presStyleIdx="1" presStyleCnt="3">
        <dgm:presLayoutVars>
          <dgm:bulletEnabled val="1"/>
        </dgm:presLayoutVars>
      </dgm:prSet>
      <dgm:spPr/>
    </dgm:pt>
    <dgm:pt modelId="{6E5104BE-5138-4F1F-B1F1-5F490AA506D2}" type="pres">
      <dgm:prSet presAssocID="{0FBA1968-C942-47F9-A59A-DFC2921B5C07}" presName="spacer" presStyleCnt="0"/>
      <dgm:spPr/>
    </dgm:pt>
    <dgm:pt modelId="{5C66482E-9B23-4197-A1ED-EE6BDAB4EDBA}" type="pres">
      <dgm:prSet presAssocID="{10DB73F8-BF40-475C-AAB3-8CF1CF2EA79D}" presName="comp" presStyleCnt="0"/>
      <dgm:spPr/>
    </dgm:pt>
    <dgm:pt modelId="{64F158AD-FF05-485C-B424-CF7544D431A8}" type="pres">
      <dgm:prSet presAssocID="{10DB73F8-BF40-475C-AAB3-8CF1CF2EA79D}" presName="box" presStyleLbl="node1" presStyleIdx="2" presStyleCnt="3"/>
      <dgm:spPr/>
    </dgm:pt>
    <dgm:pt modelId="{EF59AC1A-7072-457F-90F4-4C9C8D7D0A7F}" type="pres">
      <dgm:prSet presAssocID="{10DB73F8-BF40-475C-AAB3-8CF1CF2EA79D}" presName="img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</dgm:pt>
    <dgm:pt modelId="{8A5CF038-7B84-430D-B424-AF8AA68A815D}" type="pres">
      <dgm:prSet presAssocID="{10DB73F8-BF40-475C-AAB3-8CF1CF2EA79D}" presName="text" presStyleLbl="node1" presStyleIdx="2" presStyleCnt="3">
        <dgm:presLayoutVars>
          <dgm:bulletEnabled val="1"/>
        </dgm:presLayoutVars>
      </dgm:prSet>
      <dgm:spPr/>
    </dgm:pt>
  </dgm:ptLst>
  <dgm:cxnLst>
    <dgm:cxn modelId="{3976D301-8B17-48E2-AFEC-3E32FC5523E9}" type="presOf" srcId="{A4A7F132-63D5-4254-8139-22018C638963}" destId="{64F158AD-FF05-485C-B424-CF7544D431A8}" srcOrd="0" destOrd="1" presId="urn:microsoft.com/office/officeart/2005/8/layout/vList4"/>
    <dgm:cxn modelId="{725B5315-3E5E-4955-8046-B240DEC1968A}" srcId="{6AF6E60E-FC06-4CD4-856C-1D6E6161242E}" destId="{7AA14097-422B-471F-819D-6BAB56D55A77}" srcOrd="0" destOrd="0" parTransId="{6BB199BC-4736-4D16-A18F-1929EEAA6D16}" sibTransId="{1C5C9265-9EF0-41BA-A416-22BF5CF20454}"/>
    <dgm:cxn modelId="{02FC7415-EA3F-4B28-97AD-4493157584B7}" srcId="{56ED2C6B-9B26-44B7-A95A-4E0CC17EA982}" destId="{64B014AB-3615-46B2-B8C2-7593F9524EAD}" srcOrd="0" destOrd="0" parTransId="{67F96150-5844-4405-97CE-5726A3A65BF4}" sibTransId="{01747909-24F9-4B4E-99C6-79D6F98BE25E}"/>
    <dgm:cxn modelId="{D4BA3217-93B2-4225-AF7C-0928E7869085}" srcId="{BD84AB06-57F2-428E-821C-85E8D216B66C}" destId="{10DB73F8-BF40-475C-AAB3-8CF1CF2EA79D}" srcOrd="2" destOrd="0" parTransId="{F65A0BEA-F205-4903-B99A-31B52219A5E8}" sibTransId="{2A46D3FB-6C06-477A-B8FB-2A9987001E76}"/>
    <dgm:cxn modelId="{11FDF31D-E404-407D-AD1D-DF6C388A18AB}" type="presOf" srcId="{7AA14097-422B-471F-819D-6BAB56D55A77}" destId="{9678828E-D492-4483-A3DB-204A0F355162}" srcOrd="1" destOrd="1" presId="urn:microsoft.com/office/officeart/2005/8/layout/vList4"/>
    <dgm:cxn modelId="{51CAF523-6E4E-458E-954A-D983E3F64C59}" type="presOf" srcId="{64B014AB-3615-46B2-B8C2-7593F9524EAD}" destId="{96899A61-E0FB-43E7-99B2-0FB84AFE5978}" srcOrd="1" destOrd="1" presId="urn:microsoft.com/office/officeart/2005/8/layout/vList4"/>
    <dgm:cxn modelId="{EC88D464-5E36-4B33-9E35-12B920889476}" type="presOf" srcId="{A4A7F132-63D5-4254-8139-22018C638963}" destId="{8A5CF038-7B84-430D-B424-AF8AA68A815D}" srcOrd="1" destOrd="1" presId="urn:microsoft.com/office/officeart/2005/8/layout/vList4"/>
    <dgm:cxn modelId="{2332D568-CB19-4F10-B483-3EE84F768271}" type="presOf" srcId="{7AA14097-422B-471F-819D-6BAB56D55A77}" destId="{1C319122-1F3C-4B53-8BB4-B1015881A3EA}" srcOrd="0" destOrd="1" presId="urn:microsoft.com/office/officeart/2005/8/layout/vList4"/>
    <dgm:cxn modelId="{A591FC6B-D2F8-4694-B1B0-C8D8E8C21F8B}" type="presOf" srcId="{BD84AB06-57F2-428E-821C-85E8D216B66C}" destId="{0D980E6E-5A18-44D4-B9CD-3D5A5154CAB4}" srcOrd="0" destOrd="0" presId="urn:microsoft.com/office/officeart/2005/8/layout/vList4"/>
    <dgm:cxn modelId="{2CB45675-CFF6-46CB-9147-3C2B00FE4DD6}" type="presOf" srcId="{6AF6E60E-FC06-4CD4-856C-1D6E6161242E}" destId="{1C319122-1F3C-4B53-8BB4-B1015881A3EA}" srcOrd="0" destOrd="0" presId="urn:microsoft.com/office/officeart/2005/8/layout/vList4"/>
    <dgm:cxn modelId="{7CF75A7F-432F-4DCB-9C92-A916785967F8}" type="presOf" srcId="{6AF6E60E-FC06-4CD4-856C-1D6E6161242E}" destId="{9678828E-D492-4483-A3DB-204A0F355162}" srcOrd="1" destOrd="0" presId="urn:microsoft.com/office/officeart/2005/8/layout/vList4"/>
    <dgm:cxn modelId="{84FB3985-D06B-49AE-BE13-DF82FD377F15}" srcId="{BD84AB06-57F2-428E-821C-85E8D216B66C}" destId="{6AF6E60E-FC06-4CD4-856C-1D6E6161242E}" srcOrd="0" destOrd="0" parTransId="{FAE15306-E8F4-4F7F-9F3E-4D8640F11267}" sibTransId="{C95729EB-6967-4660-9A6E-EE719D039C8E}"/>
    <dgm:cxn modelId="{E513A499-A9FD-4854-829F-F88F2DCBE790}" type="presOf" srcId="{56ED2C6B-9B26-44B7-A95A-4E0CC17EA982}" destId="{96899A61-E0FB-43E7-99B2-0FB84AFE5978}" srcOrd="1" destOrd="0" presId="urn:microsoft.com/office/officeart/2005/8/layout/vList4"/>
    <dgm:cxn modelId="{89221DC5-A400-4062-8F25-3C30094E33B6}" srcId="{BD84AB06-57F2-428E-821C-85E8D216B66C}" destId="{56ED2C6B-9B26-44B7-A95A-4E0CC17EA982}" srcOrd="1" destOrd="0" parTransId="{1D8FAE6B-FFCC-420D-9202-25AEA0593CF3}" sibTransId="{0FBA1968-C942-47F9-A59A-DFC2921B5C07}"/>
    <dgm:cxn modelId="{9B7EE4C6-E275-4A54-9ED9-42E4E0FD0811}" type="presOf" srcId="{10DB73F8-BF40-475C-AAB3-8CF1CF2EA79D}" destId="{8A5CF038-7B84-430D-B424-AF8AA68A815D}" srcOrd="1" destOrd="0" presId="urn:microsoft.com/office/officeart/2005/8/layout/vList4"/>
    <dgm:cxn modelId="{9DA7E8CC-CCE6-446D-B46C-F668D0B4ED9D}" type="presOf" srcId="{10DB73F8-BF40-475C-AAB3-8CF1CF2EA79D}" destId="{64F158AD-FF05-485C-B424-CF7544D431A8}" srcOrd="0" destOrd="0" presId="urn:microsoft.com/office/officeart/2005/8/layout/vList4"/>
    <dgm:cxn modelId="{648771D5-9CC0-468A-8F8E-FAF7E8CB9AAD}" type="presOf" srcId="{64B014AB-3615-46B2-B8C2-7593F9524EAD}" destId="{07A7A6E8-A051-4FB7-9F2E-52C926412323}" srcOrd="0" destOrd="1" presId="urn:microsoft.com/office/officeart/2005/8/layout/vList4"/>
    <dgm:cxn modelId="{0FE4F6E7-5BA7-4DDE-B46D-9225BFB1E6FC}" type="presOf" srcId="{56ED2C6B-9B26-44B7-A95A-4E0CC17EA982}" destId="{07A7A6E8-A051-4FB7-9F2E-52C926412323}" srcOrd="0" destOrd="0" presId="urn:microsoft.com/office/officeart/2005/8/layout/vList4"/>
    <dgm:cxn modelId="{BB48D4F8-F404-4FEA-8CDE-957CFDB9C892}" srcId="{10DB73F8-BF40-475C-AAB3-8CF1CF2EA79D}" destId="{A4A7F132-63D5-4254-8139-22018C638963}" srcOrd="0" destOrd="0" parTransId="{AC0AEF06-C079-4520-9EA7-665D9F7A1A8C}" sibTransId="{7F53A4F2-3D37-4F43-B9F6-6B0A1A52EF0C}"/>
    <dgm:cxn modelId="{2A7DDEE5-D83C-42A5-907B-C0F968490713}" type="presParOf" srcId="{0D980E6E-5A18-44D4-B9CD-3D5A5154CAB4}" destId="{8594DC0B-B978-477F-8812-CD860D4CB604}" srcOrd="0" destOrd="0" presId="urn:microsoft.com/office/officeart/2005/8/layout/vList4"/>
    <dgm:cxn modelId="{15ACA0C8-B3A5-4761-AD69-CBA5F9AAB67F}" type="presParOf" srcId="{8594DC0B-B978-477F-8812-CD860D4CB604}" destId="{1C319122-1F3C-4B53-8BB4-B1015881A3EA}" srcOrd="0" destOrd="0" presId="urn:microsoft.com/office/officeart/2005/8/layout/vList4"/>
    <dgm:cxn modelId="{C133CA17-4B9B-4868-84E1-E1FA9E8F3B55}" type="presParOf" srcId="{8594DC0B-B978-477F-8812-CD860D4CB604}" destId="{E0C8B89A-67DD-4AC3-991B-A842171CD96F}" srcOrd="1" destOrd="0" presId="urn:microsoft.com/office/officeart/2005/8/layout/vList4"/>
    <dgm:cxn modelId="{B4BDC143-87B5-41A3-BC11-2CF343777054}" type="presParOf" srcId="{8594DC0B-B978-477F-8812-CD860D4CB604}" destId="{9678828E-D492-4483-A3DB-204A0F355162}" srcOrd="2" destOrd="0" presId="urn:microsoft.com/office/officeart/2005/8/layout/vList4"/>
    <dgm:cxn modelId="{85015DC7-7BC3-4CE2-88F8-CDBDED2294BD}" type="presParOf" srcId="{0D980E6E-5A18-44D4-B9CD-3D5A5154CAB4}" destId="{648C26CC-6F49-4136-96BC-49691F2E21C2}" srcOrd="1" destOrd="0" presId="urn:microsoft.com/office/officeart/2005/8/layout/vList4"/>
    <dgm:cxn modelId="{747ACA6F-1D34-49E6-ADB4-D87ECBAA49F1}" type="presParOf" srcId="{0D980E6E-5A18-44D4-B9CD-3D5A5154CAB4}" destId="{138138E0-13B6-44A5-8476-BC7A46471E84}" srcOrd="2" destOrd="0" presId="urn:microsoft.com/office/officeart/2005/8/layout/vList4"/>
    <dgm:cxn modelId="{8E1535E2-5691-40AD-831E-EBBBFBCAA231}" type="presParOf" srcId="{138138E0-13B6-44A5-8476-BC7A46471E84}" destId="{07A7A6E8-A051-4FB7-9F2E-52C926412323}" srcOrd="0" destOrd="0" presId="urn:microsoft.com/office/officeart/2005/8/layout/vList4"/>
    <dgm:cxn modelId="{51CCAB24-46BD-4874-A438-0635DE058081}" type="presParOf" srcId="{138138E0-13B6-44A5-8476-BC7A46471E84}" destId="{1D1031B8-ABD0-48FD-B590-A8EA6723F10C}" srcOrd="1" destOrd="0" presId="urn:microsoft.com/office/officeart/2005/8/layout/vList4"/>
    <dgm:cxn modelId="{D7F9D14E-51F0-4D22-A321-B9140509BA4D}" type="presParOf" srcId="{138138E0-13B6-44A5-8476-BC7A46471E84}" destId="{96899A61-E0FB-43E7-99B2-0FB84AFE5978}" srcOrd="2" destOrd="0" presId="urn:microsoft.com/office/officeart/2005/8/layout/vList4"/>
    <dgm:cxn modelId="{ADC58809-33AB-4D54-8F50-F322AB94DC1A}" type="presParOf" srcId="{0D980E6E-5A18-44D4-B9CD-3D5A5154CAB4}" destId="{6E5104BE-5138-4F1F-B1F1-5F490AA506D2}" srcOrd="3" destOrd="0" presId="urn:microsoft.com/office/officeart/2005/8/layout/vList4"/>
    <dgm:cxn modelId="{81EE6004-DD10-4E46-AB50-A6875551C56B}" type="presParOf" srcId="{0D980E6E-5A18-44D4-B9CD-3D5A5154CAB4}" destId="{5C66482E-9B23-4197-A1ED-EE6BDAB4EDBA}" srcOrd="4" destOrd="0" presId="urn:microsoft.com/office/officeart/2005/8/layout/vList4"/>
    <dgm:cxn modelId="{28A601D0-1485-47FC-93EA-F946F78277D2}" type="presParOf" srcId="{5C66482E-9B23-4197-A1ED-EE6BDAB4EDBA}" destId="{64F158AD-FF05-485C-B424-CF7544D431A8}" srcOrd="0" destOrd="0" presId="urn:microsoft.com/office/officeart/2005/8/layout/vList4"/>
    <dgm:cxn modelId="{86D5F887-32F1-4EDB-95FD-D6222C00A0D8}" type="presParOf" srcId="{5C66482E-9B23-4197-A1ED-EE6BDAB4EDBA}" destId="{EF59AC1A-7072-457F-90F4-4C9C8D7D0A7F}" srcOrd="1" destOrd="0" presId="urn:microsoft.com/office/officeart/2005/8/layout/vList4"/>
    <dgm:cxn modelId="{5ECFDA06-F2D7-4564-949D-94C9DDA743D8}" type="presParOf" srcId="{5C66482E-9B23-4197-A1ED-EE6BDAB4EDBA}" destId="{8A5CF038-7B84-430D-B424-AF8AA68A815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19122-1F3C-4B53-8BB4-B1015881A3EA}">
      <dsp:nvSpPr>
        <dsp:cNvPr id="0" name=""/>
        <dsp:cNvSpPr/>
      </dsp:nvSpPr>
      <dsp:spPr>
        <a:xfrm>
          <a:off x="0" y="0"/>
          <a:ext cx="5349875" cy="87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000" b="1" kern="1200"/>
            <a:t>Module</a:t>
          </a:r>
          <a:endParaRPr lang="de-DE" sz="24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100" kern="1200"/>
            <a:t>vermitteln in Theorie und Praxis die hauptsächlichen Stilepochen des Kirchenbaus</a:t>
          </a:r>
        </a:p>
      </dsp:txBody>
      <dsp:txXfrm>
        <a:off x="1157400" y="0"/>
        <a:ext cx="4192474" cy="874259"/>
      </dsp:txXfrm>
    </dsp:sp>
    <dsp:sp modelId="{E0C8B89A-67DD-4AC3-991B-A842171CD96F}">
      <dsp:nvSpPr>
        <dsp:cNvPr id="0" name=""/>
        <dsp:cNvSpPr/>
      </dsp:nvSpPr>
      <dsp:spPr>
        <a:xfrm>
          <a:off x="87425" y="87425"/>
          <a:ext cx="1069975" cy="6994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A7A6E8-A051-4FB7-9F2E-52C926412323}">
      <dsp:nvSpPr>
        <dsp:cNvPr id="0" name=""/>
        <dsp:cNvSpPr/>
      </dsp:nvSpPr>
      <dsp:spPr>
        <a:xfrm>
          <a:off x="0" y="961684"/>
          <a:ext cx="5349875" cy="87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b="1" kern="1200"/>
            <a:t>Thementage</a:t>
          </a:r>
          <a:endParaRPr lang="de-DE" sz="20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100" kern="1200"/>
            <a:t>behandeln für Kirchenführungen relevante theologische und didaktische Themen</a:t>
          </a:r>
        </a:p>
      </dsp:txBody>
      <dsp:txXfrm>
        <a:off x="1157400" y="961684"/>
        <a:ext cx="4192474" cy="874259"/>
      </dsp:txXfrm>
    </dsp:sp>
    <dsp:sp modelId="{1D1031B8-ABD0-48FD-B590-A8EA6723F10C}">
      <dsp:nvSpPr>
        <dsp:cNvPr id="0" name=""/>
        <dsp:cNvSpPr/>
      </dsp:nvSpPr>
      <dsp:spPr>
        <a:xfrm>
          <a:off x="87425" y="1049110"/>
          <a:ext cx="1069975" cy="6994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F158AD-FF05-485C-B424-CF7544D431A8}">
      <dsp:nvSpPr>
        <dsp:cNvPr id="0" name=""/>
        <dsp:cNvSpPr/>
      </dsp:nvSpPr>
      <dsp:spPr>
        <a:xfrm>
          <a:off x="0" y="1923369"/>
          <a:ext cx="5349875" cy="8742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b="1" kern="1200"/>
            <a:t>Studientage</a:t>
          </a:r>
          <a:endParaRPr lang="de-DE" sz="20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100" kern="1200"/>
            <a:t>sind über den Kurs hinaus für alle Interssierten offen</a:t>
          </a:r>
        </a:p>
      </dsp:txBody>
      <dsp:txXfrm>
        <a:off x="1157400" y="1923369"/>
        <a:ext cx="4192474" cy="874259"/>
      </dsp:txXfrm>
    </dsp:sp>
    <dsp:sp modelId="{EF59AC1A-7072-457F-90F4-4C9C8D7D0A7F}">
      <dsp:nvSpPr>
        <dsp:cNvPr id="0" name=""/>
        <dsp:cNvSpPr/>
      </dsp:nvSpPr>
      <dsp:spPr>
        <a:xfrm>
          <a:off x="87425" y="2010795"/>
          <a:ext cx="1069975" cy="6994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2022-11-29T10:10:00Z</cp:lastPrinted>
  <dcterms:created xsi:type="dcterms:W3CDTF">2022-11-29T13:55:00Z</dcterms:created>
  <dcterms:modified xsi:type="dcterms:W3CDTF">2022-11-29T13:59:00Z</dcterms:modified>
</cp:coreProperties>
</file>